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4EE3" w14:textId="2A06158C" w:rsidR="007631E3" w:rsidRPr="007631E3" w:rsidRDefault="007631E3" w:rsidP="007631E3">
      <w:pPr>
        <w:jc w:val="center"/>
        <w:rPr>
          <w:rFonts w:ascii="Tahoma" w:hAnsi="Tahoma" w:cs="Tahoma"/>
          <w:b/>
          <w:bCs/>
        </w:rPr>
      </w:pPr>
      <w:r w:rsidRPr="007631E3">
        <w:rPr>
          <w:rFonts w:ascii="Tahoma" w:hAnsi="Tahoma" w:cs="Tahoma"/>
          <w:b/>
          <w:bCs/>
        </w:rPr>
        <w:t>UNFCCC-CASTT Adaptation Academy for Africa 2026</w:t>
      </w:r>
    </w:p>
    <w:p w14:paraId="00B3A195" w14:textId="51149A27" w:rsidR="007E7368" w:rsidRPr="007E7368" w:rsidRDefault="007E7368" w:rsidP="007E7368">
      <w:pPr>
        <w:rPr>
          <w:rFonts w:ascii="Tahoma" w:hAnsi="Tahoma" w:cs="Tahoma"/>
        </w:rPr>
      </w:pPr>
      <w:r w:rsidRPr="007E7368">
        <w:rPr>
          <w:rFonts w:ascii="Tahoma" w:hAnsi="Tahoma" w:cs="Tahoma"/>
        </w:rPr>
        <w:t>Kenya Shares Adaptation Reporting Experience at UNFCCC-CASTT Adaptation Academy for Africa 2026</w:t>
      </w:r>
    </w:p>
    <w:p w14:paraId="731BC7FF" w14:textId="6FEC2829" w:rsidR="007E7368" w:rsidRPr="007E7368" w:rsidRDefault="007E7368" w:rsidP="007E7368">
      <w:pPr>
        <w:rPr>
          <w:rFonts w:ascii="Tahoma" w:hAnsi="Tahoma" w:cs="Tahoma"/>
        </w:rPr>
      </w:pPr>
      <w:r w:rsidRPr="007E7368">
        <w:rPr>
          <w:rFonts w:ascii="Tahoma" w:hAnsi="Tahoma" w:cs="Tahoma"/>
        </w:rPr>
        <w:t>18</w:t>
      </w:r>
      <w:r w:rsidR="00761645">
        <w:rPr>
          <w:rFonts w:ascii="Tahoma" w:hAnsi="Tahoma" w:cs="Tahoma"/>
        </w:rPr>
        <w:t>-</w:t>
      </w:r>
      <w:r w:rsidRPr="007E7368">
        <w:rPr>
          <w:rFonts w:ascii="Tahoma" w:hAnsi="Tahoma" w:cs="Tahoma"/>
        </w:rPr>
        <w:t>21 August 2026 | RCMRD, Nairobi</w:t>
      </w:r>
    </w:p>
    <w:p w14:paraId="72398C4F" w14:textId="59BD46A1" w:rsidR="007E7368" w:rsidRPr="007E7368" w:rsidRDefault="007E7368" w:rsidP="007E7368">
      <w:pPr>
        <w:rPr>
          <w:rFonts w:ascii="Tahoma" w:hAnsi="Tahoma" w:cs="Tahoma"/>
        </w:rPr>
      </w:pPr>
      <w:r w:rsidRPr="007E7368">
        <w:rPr>
          <w:rFonts w:ascii="Tahoma" w:hAnsi="Tahoma" w:cs="Tahoma"/>
        </w:rPr>
        <w:t>The UNFCCC-CASTT Adaptation Academy for Africa 2026 brought together African countries to strengthen technical capacity on adaptation planning, monitoring, and reporting under the Paris Agreement's Enhanced Transparency Framework (ETF), under the theme "</w:t>
      </w:r>
      <w:r w:rsidRPr="00761645">
        <w:rPr>
          <w:rFonts w:ascii="Tahoma" w:hAnsi="Tahoma" w:cs="Tahoma"/>
          <w:b/>
          <w:bCs/>
          <w:i/>
          <w:iCs/>
        </w:rPr>
        <w:t>Climate Transparency and Adaptation Action: Strengthening Adaptation Reporting under the ETF</w:t>
      </w:r>
      <w:r w:rsidRPr="007E7368">
        <w:rPr>
          <w:rFonts w:ascii="Tahoma" w:hAnsi="Tahoma" w:cs="Tahoma"/>
        </w:rPr>
        <w:t>."</w:t>
      </w:r>
    </w:p>
    <w:p w14:paraId="401A1565" w14:textId="0D598949" w:rsidR="007E7368" w:rsidRPr="007E7368" w:rsidRDefault="007E7368" w:rsidP="007E7368">
      <w:pPr>
        <w:rPr>
          <w:rFonts w:ascii="Tahoma" w:hAnsi="Tahoma" w:cs="Tahoma"/>
        </w:rPr>
      </w:pPr>
      <w:r w:rsidRPr="007E7368">
        <w:rPr>
          <w:rFonts w:ascii="Tahoma" w:hAnsi="Tahoma" w:cs="Tahoma"/>
        </w:rPr>
        <w:t xml:space="preserve">Kenya was represented by officers from the Climate Change Directorate: </w:t>
      </w:r>
      <w:r>
        <w:rPr>
          <w:rFonts w:ascii="Tahoma" w:hAnsi="Tahoma" w:cs="Tahoma"/>
        </w:rPr>
        <w:t>Dr.</w:t>
      </w:r>
      <w:r w:rsidRPr="007E7368">
        <w:rPr>
          <w:rFonts w:ascii="Tahoma" w:hAnsi="Tahoma" w:cs="Tahoma"/>
        </w:rPr>
        <w:t xml:space="preserve"> Joyce Kaino, Ms. Mercy Avisa, and Mr. Anthony Gitonga.</w:t>
      </w:r>
    </w:p>
    <w:p w14:paraId="5D2AD684" w14:textId="35F1E8E4" w:rsidR="007E7368" w:rsidRPr="007E7368" w:rsidRDefault="007E7368" w:rsidP="007E7368">
      <w:pPr>
        <w:rPr>
          <w:rFonts w:ascii="Tahoma" w:hAnsi="Tahoma" w:cs="Tahoma"/>
        </w:rPr>
      </w:pPr>
      <w:r w:rsidRPr="007E7368">
        <w:rPr>
          <w:rFonts w:ascii="Tahoma" w:hAnsi="Tahoma" w:cs="Tahoma"/>
        </w:rPr>
        <w:t>Kenya featured prominently, sharing its experience through country presentations and panel discussions. The country presented lessons from preparing its first Biennial Transparency Report (BTR1), joined a panel on applying the Belém Adaptation Indicators in national reporting, and shared insights on navigating the Technical Expert Review (TER) and Facilitative Multilateral Consideration of Progress (FMCP) processes.</w:t>
      </w:r>
    </w:p>
    <w:p w14:paraId="42A676D1" w14:textId="77777777" w:rsidR="00761645" w:rsidRDefault="007E7368" w:rsidP="007E7368">
      <w:pPr>
        <w:rPr>
          <w:rFonts w:ascii="Tahoma" w:hAnsi="Tahoma" w:cs="Tahoma"/>
        </w:rPr>
      </w:pPr>
      <w:r w:rsidRPr="007E7368">
        <w:rPr>
          <w:rFonts w:ascii="Tahoma" w:hAnsi="Tahoma" w:cs="Tahoma"/>
        </w:rPr>
        <w:t>The Academy offered Kenya a valuable platform to both showcase its progress and learn from other African countries' approaches to adaptation monitoring and reporting</w:t>
      </w:r>
      <w:r w:rsidR="00761645">
        <w:rPr>
          <w:rFonts w:ascii="Tahoma" w:hAnsi="Tahoma" w:cs="Tahoma"/>
        </w:rPr>
        <w:t xml:space="preserve"> </w:t>
      </w:r>
      <w:r w:rsidRPr="007E7368">
        <w:rPr>
          <w:rFonts w:ascii="Tahoma" w:hAnsi="Tahoma" w:cs="Tahoma"/>
        </w:rPr>
        <w:t>strengthening the region's collective push toward more consistent, useful adaptation reporting under the ETF.</w:t>
      </w:r>
    </w:p>
    <w:p w14:paraId="46876EE5" w14:textId="2B53A324" w:rsidR="007631E3" w:rsidRDefault="007631E3" w:rsidP="007E7368">
      <w:pPr>
        <w:rPr>
          <w:rFonts w:ascii="Tahoma" w:hAnsi="Tahoma" w:cs="Tahoma"/>
        </w:rPr>
      </w:pPr>
      <w:r w:rsidRPr="007631E3">
        <w:rPr>
          <w:rFonts w:ascii="Tahoma" w:hAnsi="Tahoma" w:cs="Tahoma"/>
          <w:noProof/>
        </w:rPr>
        <w:lastRenderedPageBreak/>
        <w:drawing>
          <wp:inline distT="0" distB="0" distL="0" distR="0" wp14:anchorId="4D847E97" wp14:editId="7C44558E">
            <wp:extent cx="6185591" cy="4121150"/>
            <wp:effectExtent l="0" t="0" r="5715" b="0"/>
            <wp:docPr id="492634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5288" cy="4140936"/>
                    </a:xfrm>
                    <a:prstGeom prst="rect">
                      <a:avLst/>
                    </a:prstGeom>
                    <a:noFill/>
                  </pic:spPr>
                </pic:pic>
              </a:graphicData>
            </a:graphic>
          </wp:inline>
        </w:drawing>
      </w:r>
    </w:p>
    <w:p w14:paraId="73EE122A" w14:textId="77777777" w:rsidR="00492E41" w:rsidRPr="007631E3" w:rsidRDefault="00492E41" w:rsidP="00492E41">
      <w:pPr>
        <w:rPr>
          <w:rFonts w:ascii="Tahoma" w:hAnsi="Tahoma" w:cs="Tahoma"/>
        </w:rPr>
      </w:pPr>
    </w:p>
    <w:sectPr w:rsidR="00492E41" w:rsidRPr="007631E3" w:rsidSect="007631E3">
      <w:pgSz w:w="12240" w:h="15840"/>
      <w:pgMar w:top="1077" w:right="1077" w:bottom="1077" w:left="1259" w:header="709" w:footer="709"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D2CCE"/>
    <w:multiLevelType w:val="hybridMultilevel"/>
    <w:tmpl w:val="2340B246"/>
    <w:lvl w:ilvl="0" w:tplc="30709A72">
      <w:start w:val="1"/>
      <w:numFmt w:val="decimal"/>
      <w:lvlText w:val="1.%1.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05AC48A4"/>
    <w:multiLevelType w:val="multilevel"/>
    <w:tmpl w:val="F146C10C"/>
    <w:lvl w:ilvl="0">
      <w:start w:val="1"/>
      <w:numFmt w:val="decimal"/>
      <w:pStyle w:val="Heading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E1E4012"/>
    <w:multiLevelType w:val="hybridMultilevel"/>
    <w:tmpl w:val="4E547736"/>
    <w:lvl w:ilvl="0" w:tplc="9AF09158">
      <w:start w:val="2"/>
      <w:numFmt w:val="decimal"/>
      <w:pStyle w:val="Heading2"/>
      <w:lvlText w:val="2.5.4.1%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476D75DB"/>
    <w:multiLevelType w:val="hybridMultilevel"/>
    <w:tmpl w:val="83C0BB90"/>
    <w:lvl w:ilvl="0" w:tplc="B204B0A0">
      <w:start w:val="2"/>
      <w:numFmt w:val="decimal"/>
      <w:pStyle w:val="Heading3"/>
      <w:lvlText w:val="2.5.4.1%1"/>
      <w:lvlJc w:val="left"/>
      <w:pPr>
        <w:ind w:left="108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num w:numId="1" w16cid:durableId="590747441">
    <w:abstractNumId w:val="3"/>
  </w:num>
  <w:num w:numId="2" w16cid:durableId="1504932590">
    <w:abstractNumId w:val="3"/>
  </w:num>
  <w:num w:numId="3" w16cid:durableId="1054936168">
    <w:abstractNumId w:val="3"/>
  </w:num>
  <w:num w:numId="4" w16cid:durableId="1914467532">
    <w:abstractNumId w:val="0"/>
  </w:num>
  <w:num w:numId="5" w16cid:durableId="1942909922">
    <w:abstractNumId w:val="2"/>
  </w:num>
  <w:num w:numId="6" w16cid:durableId="271282245">
    <w:abstractNumId w:val="3"/>
  </w:num>
  <w:num w:numId="7" w16cid:durableId="799038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00"/>
  <w:drawingGridVerticalSpacing w:val="136"/>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1E3"/>
    <w:rsid w:val="000F0F8D"/>
    <w:rsid w:val="002957C5"/>
    <w:rsid w:val="002C7DC7"/>
    <w:rsid w:val="00492E41"/>
    <w:rsid w:val="004E6F39"/>
    <w:rsid w:val="006552AF"/>
    <w:rsid w:val="00761645"/>
    <w:rsid w:val="007631E3"/>
    <w:rsid w:val="007E3B06"/>
    <w:rsid w:val="007E7368"/>
    <w:rsid w:val="00971C0A"/>
    <w:rsid w:val="00C9228E"/>
    <w:rsid w:val="00E00B7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7E3DEB"/>
  <w15:chartTrackingRefBased/>
  <w15:docId w15:val="{BC995B14-B142-4265-8C69-E117E8435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C0A"/>
    <w:pPr>
      <w:jc w:val="both"/>
    </w:pPr>
    <w:rPr>
      <w:rFonts w:ascii="Times New Roman" w:hAnsi="Times New Roman"/>
    </w:rPr>
  </w:style>
  <w:style w:type="paragraph" w:styleId="Heading1">
    <w:name w:val="heading 1"/>
    <w:basedOn w:val="Normal"/>
    <w:next w:val="Normal"/>
    <w:link w:val="Heading1Char"/>
    <w:autoRedefine/>
    <w:uiPriority w:val="9"/>
    <w:qFormat/>
    <w:rsid w:val="002957C5"/>
    <w:pPr>
      <w:spacing w:before="120" w:after="200" w:line="360" w:lineRule="auto"/>
      <w:outlineLvl w:val="0"/>
    </w:pPr>
    <w:rPr>
      <w:rFonts w:eastAsia="Times New Roman" w:cs="Times New Roman"/>
      <w:b/>
      <w:kern w:val="0"/>
      <w:lang w:val="en" w:eastAsia="en-KE"/>
      <w14:ligatures w14:val="none"/>
    </w:rPr>
  </w:style>
  <w:style w:type="paragraph" w:styleId="Heading2">
    <w:name w:val="heading 2"/>
    <w:basedOn w:val="Normal"/>
    <w:next w:val="Normal"/>
    <w:link w:val="Heading2Char"/>
    <w:autoRedefine/>
    <w:uiPriority w:val="9"/>
    <w:unhideWhenUsed/>
    <w:qFormat/>
    <w:rsid w:val="00971C0A"/>
    <w:pPr>
      <w:keepNext/>
      <w:keepLines/>
      <w:numPr>
        <w:numId w:val="5"/>
      </w:numPr>
      <w:spacing w:before="160" w:after="80"/>
      <w:ind w:left="10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971C0A"/>
    <w:pPr>
      <w:keepNext/>
      <w:keepLines/>
      <w:numPr>
        <w:numId w:val="6"/>
      </w:numPr>
      <w:spacing w:before="160" w:after="80"/>
      <w:ind w:left="2160"/>
      <w:outlineLvl w:val="2"/>
    </w:pPr>
    <w:rPr>
      <w:rFonts w:eastAsiaTheme="majorEastAsia" w:cstheme="majorBidi"/>
      <w:b/>
      <w:szCs w:val="28"/>
    </w:rPr>
  </w:style>
  <w:style w:type="paragraph" w:styleId="Heading4">
    <w:name w:val="heading 4"/>
    <w:basedOn w:val="Normal"/>
    <w:next w:val="Normal"/>
    <w:link w:val="Heading4Char"/>
    <w:autoRedefine/>
    <w:uiPriority w:val="9"/>
    <w:unhideWhenUsed/>
    <w:qFormat/>
    <w:rsid w:val="00971C0A"/>
    <w:pPr>
      <w:keepNext/>
      <w:keepLines/>
      <w:numPr>
        <w:numId w:val="7"/>
      </w:numPr>
      <w:spacing w:before="80" w:after="40"/>
      <w:ind w:left="1440" w:hanging="36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7631E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631E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631E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631E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631E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C5"/>
    <w:rPr>
      <w:rFonts w:ascii="Times New Roman" w:eastAsia="Times New Roman" w:hAnsi="Times New Roman" w:cs="Times New Roman"/>
      <w:b/>
      <w:kern w:val="0"/>
      <w:lang w:val="en" w:eastAsia="en-KE"/>
      <w14:ligatures w14:val="none"/>
    </w:rPr>
  </w:style>
  <w:style w:type="character" w:customStyle="1" w:styleId="Heading2Char">
    <w:name w:val="Heading 2 Char"/>
    <w:basedOn w:val="DefaultParagraphFont"/>
    <w:link w:val="Heading2"/>
    <w:uiPriority w:val="9"/>
    <w:rsid w:val="00971C0A"/>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971C0A"/>
    <w:rPr>
      <w:rFonts w:ascii="Times New Roman" w:eastAsiaTheme="majorEastAsia" w:hAnsi="Times New Roman" w:cstheme="majorBidi"/>
      <w:b/>
      <w:szCs w:val="28"/>
    </w:rPr>
  </w:style>
  <w:style w:type="character" w:customStyle="1" w:styleId="Heading4Char">
    <w:name w:val="Heading 4 Char"/>
    <w:basedOn w:val="DefaultParagraphFont"/>
    <w:link w:val="Heading4"/>
    <w:uiPriority w:val="9"/>
    <w:rsid w:val="00971C0A"/>
    <w:rPr>
      <w:rFonts w:ascii="Times New Roman" w:eastAsiaTheme="majorEastAsia" w:hAnsi="Times New Roman" w:cstheme="majorBidi"/>
      <w:i/>
      <w:iCs/>
    </w:rPr>
  </w:style>
  <w:style w:type="character" w:customStyle="1" w:styleId="Heading5Char">
    <w:name w:val="Heading 5 Char"/>
    <w:basedOn w:val="DefaultParagraphFont"/>
    <w:link w:val="Heading5"/>
    <w:uiPriority w:val="9"/>
    <w:semiHidden/>
    <w:rsid w:val="007631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31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31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31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31E3"/>
    <w:rPr>
      <w:rFonts w:eastAsiaTheme="majorEastAsia" w:cstheme="majorBidi"/>
      <w:color w:val="272727" w:themeColor="text1" w:themeTint="D8"/>
    </w:rPr>
  </w:style>
  <w:style w:type="paragraph" w:styleId="Title">
    <w:name w:val="Title"/>
    <w:basedOn w:val="Normal"/>
    <w:next w:val="Normal"/>
    <w:link w:val="TitleChar"/>
    <w:uiPriority w:val="10"/>
    <w:qFormat/>
    <w:rsid w:val="007631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31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31E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31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31E3"/>
    <w:pPr>
      <w:spacing w:before="160"/>
      <w:jc w:val="center"/>
    </w:pPr>
    <w:rPr>
      <w:i/>
      <w:iCs/>
      <w:color w:val="404040" w:themeColor="text1" w:themeTint="BF"/>
    </w:rPr>
  </w:style>
  <w:style w:type="character" w:customStyle="1" w:styleId="QuoteChar">
    <w:name w:val="Quote Char"/>
    <w:basedOn w:val="DefaultParagraphFont"/>
    <w:link w:val="Quote"/>
    <w:uiPriority w:val="29"/>
    <w:rsid w:val="007631E3"/>
    <w:rPr>
      <w:rFonts w:ascii="Times New Roman" w:hAnsi="Times New Roman"/>
      <w:i/>
      <w:iCs/>
      <w:color w:val="404040" w:themeColor="text1" w:themeTint="BF"/>
    </w:rPr>
  </w:style>
  <w:style w:type="paragraph" w:styleId="ListParagraph">
    <w:name w:val="List Paragraph"/>
    <w:basedOn w:val="Normal"/>
    <w:uiPriority w:val="34"/>
    <w:qFormat/>
    <w:rsid w:val="007631E3"/>
    <w:pPr>
      <w:ind w:left="720"/>
      <w:contextualSpacing/>
    </w:pPr>
  </w:style>
  <w:style w:type="character" w:styleId="IntenseEmphasis">
    <w:name w:val="Intense Emphasis"/>
    <w:basedOn w:val="DefaultParagraphFont"/>
    <w:uiPriority w:val="21"/>
    <w:qFormat/>
    <w:rsid w:val="007631E3"/>
    <w:rPr>
      <w:i/>
      <w:iCs/>
      <w:color w:val="0F4761" w:themeColor="accent1" w:themeShade="BF"/>
    </w:rPr>
  </w:style>
  <w:style w:type="paragraph" w:styleId="IntenseQuote">
    <w:name w:val="Intense Quote"/>
    <w:basedOn w:val="Normal"/>
    <w:next w:val="Normal"/>
    <w:link w:val="IntenseQuoteChar"/>
    <w:uiPriority w:val="30"/>
    <w:qFormat/>
    <w:rsid w:val="007631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31E3"/>
    <w:rPr>
      <w:rFonts w:ascii="Times New Roman" w:hAnsi="Times New Roman"/>
      <w:i/>
      <w:iCs/>
      <w:color w:val="0F4761" w:themeColor="accent1" w:themeShade="BF"/>
    </w:rPr>
  </w:style>
  <w:style w:type="character" w:styleId="IntenseReference">
    <w:name w:val="Intense Reference"/>
    <w:basedOn w:val="DefaultParagraphFont"/>
    <w:uiPriority w:val="32"/>
    <w:qFormat/>
    <w:rsid w:val="007631E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202</Words>
  <Characters>1155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GITONGA</dc:creator>
  <cp:keywords/>
  <dc:description/>
  <cp:lastModifiedBy>ANTHONY GITONGA</cp:lastModifiedBy>
  <cp:revision>3</cp:revision>
  <dcterms:created xsi:type="dcterms:W3CDTF">2026-08-21T06:32:00Z</dcterms:created>
  <dcterms:modified xsi:type="dcterms:W3CDTF">2026-08-21T08:09:00Z</dcterms:modified>
</cp:coreProperties>
</file>